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5E" w:rsidRPr="00807ADD" w:rsidRDefault="00BC2D5E" w:rsidP="00807ADD">
      <w:pPr>
        <w:shd w:val="clear" w:color="auto" w:fill="FFFFFF"/>
        <w:bidi/>
        <w:spacing w:before="180" w:after="180" w:line="300" w:lineRule="atLeast"/>
        <w:jc w:val="center"/>
        <w:outlineLvl w:val="1"/>
        <w:rPr>
          <w:rFonts w:ascii="Tahoma" w:eastAsia="Times New Roman" w:hAnsi="Tahoma" w:cs="Titr"/>
          <w:color w:val="333333"/>
          <w:sz w:val="24"/>
          <w:szCs w:val="24"/>
        </w:rPr>
      </w:pPr>
      <w:r w:rsidRPr="00807ADD">
        <w:rPr>
          <w:rFonts w:ascii="Tahoma" w:eastAsia="Times New Roman" w:hAnsi="Tahoma" w:cs="Titr"/>
          <w:color w:val="333333"/>
          <w:sz w:val="24"/>
          <w:szCs w:val="24"/>
          <w:rtl/>
        </w:rPr>
        <w:t>آیین نامه اجرایی ماده (5) قانون الحاق برخی مواد به قانون تنظیم بخشی از مقررات مالی دولت (2) موضوع واگذاری برخی از واحدهای خدماتی، رفاهی، فرهنگی و ورزشی به بخش خصوصی (تصویبنامه شماره 152001/ت52293هـ مورخ 2/12/1395 هیأت وزیران</w:t>
      </w:r>
      <w:r w:rsidRPr="00807ADD">
        <w:rPr>
          <w:rFonts w:ascii="Tahoma" w:eastAsia="Times New Roman" w:hAnsi="Tahoma" w:cs="Titr"/>
          <w:color w:val="333333"/>
          <w:sz w:val="24"/>
          <w:szCs w:val="24"/>
        </w:rPr>
        <w:t>)</w:t>
      </w:r>
    </w:p>
    <w:p w:rsidR="00BC2D5E" w:rsidRPr="00807ADD" w:rsidRDefault="00BC2D5E" w:rsidP="00807ADD">
      <w:pPr>
        <w:shd w:val="clear" w:color="auto" w:fill="FFFFFF"/>
        <w:bidi/>
        <w:spacing w:after="135" w:line="240" w:lineRule="auto"/>
        <w:ind w:left="405"/>
        <w:jc w:val="center"/>
        <w:rPr>
          <w:rFonts w:ascii="Tahoma" w:eastAsia="Times New Roman" w:hAnsi="Tahoma" w:cs="Titr"/>
          <w:color w:val="333333"/>
          <w:sz w:val="24"/>
          <w:szCs w:val="24"/>
        </w:rPr>
      </w:pPr>
      <w:r w:rsidRPr="00807ADD">
        <w:rPr>
          <w:rFonts w:ascii="Tahoma" w:eastAsia="Times New Roman" w:hAnsi="Tahoma" w:cs="Titr"/>
          <w:color w:val="333333"/>
          <w:sz w:val="24"/>
          <w:szCs w:val="24"/>
          <w:rtl/>
        </w:rPr>
        <w:t>آیین نامه اجرایی ماده (5) قانون الحاق برخی مواد به قانون تنظیم بخشی از مقررات مالی دولت (2) موضوع واگذاری برخی از واحدهای خدماتی، رفاهی، فرهنگی و ورزشی به بخش خصوصی (تصویبنامه شماره 152001/ت52293هـ مورخ 2/12/1395 هیأت وزیران</w:t>
      </w:r>
      <w:r w:rsidRPr="00807ADD">
        <w:rPr>
          <w:rFonts w:ascii="Tahoma" w:eastAsia="Times New Roman" w:hAnsi="Tahoma" w:cs="Titr"/>
          <w:color w:val="333333"/>
          <w:sz w:val="24"/>
          <w:szCs w:val="24"/>
        </w:rPr>
        <w:t>)</w:t>
      </w:r>
    </w:p>
    <w:p w:rsidR="00BC2D5E" w:rsidRPr="00807ADD" w:rsidRDefault="00BC2D5E" w:rsidP="00807ADD">
      <w:pPr>
        <w:shd w:val="clear" w:color="auto" w:fill="FFFFFF"/>
        <w:bidi/>
        <w:spacing w:after="135" w:line="240" w:lineRule="auto"/>
        <w:ind w:left="405"/>
        <w:jc w:val="center"/>
        <w:rPr>
          <w:rFonts w:ascii="Tahoma" w:eastAsia="Times New Roman" w:hAnsi="Tahoma" w:cs="Titr"/>
          <w:color w:val="333333"/>
          <w:sz w:val="24"/>
          <w:szCs w:val="24"/>
        </w:rPr>
      </w:pPr>
    </w:p>
    <w:p w:rsidR="00BC2D5E" w:rsidRPr="00807ADD" w:rsidRDefault="00BC2D5E" w:rsidP="00807ADD">
      <w:pPr>
        <w:shd w:val="clear" w:color="auto" w:fill="FFFFFF"/>
        <w:bidi/>
        <w:spacing w:after="135" w:line="240" w:lineRule="auto"/>
        <w:ind w:left="405"/>
        <w:jc w:val="center"/>
        <w:rPr>
          <w:rFonts w:ascii="Tahoma" w:eastAsia="Times New Roman" w:hAnsi="Tahoma" w:cs="Titr"/>
          <w:color w:val="333333"/>
          <w:sz w:val="24"/>
          <w:szCs w:val="24"/>
        </w:rPr>
      </w:pPr>
      <w:r w:rsidRPr="00807ADD">
        <w:rPr>
          <w:rFonts w:ascii="Tahoma" w:eastAsia="Times New Roman" w:hAnsi="Tahoma" w:cs="Titr"/>
          <w:color w:val="333333"/>
          <w:sz w:val="24"/>
          <w:szCs w:val="24"/>
          <w:rtl/>
        </w:rPr>
        <w:t>وزارت امور اقتصادی و دارایی- سازمان برنامه و بودجه کشور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color w:val="333333"/>
          <w:sz w:val="24"/>
          <w:szCs w:val="24"/>
          <w:rtl/>
        </w:rPr>
        <w:t xml:space="preserve">هیئت وزیران در جلسه 27/11/1395 به پیشنهاد مشترک سازمان برنامه و بودجه کشور و وزارت امور اقتصادی و دارایی و به 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استناد ماده (5) قانون الحاق برخی مواد به قانون تنظیم بخشی از مقررات مالی دولت (2) -مصوب 1393- آیین‌نامه اجرایی ماده یاد شده را به شرح زیر تصویب کرد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: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center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آیین نامه اجرایی ماده (5) قانون الحاق برخی مواد به قانون تنظیم بخشی از مقررات مالی دولت (2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1- دستگاه‏ های اجرایی موضوع ماده (5) قانون مدیریت خدمات کشوری -مصوب 1386- می‏‌توانند واحدهای خدماتی، رفاهی، مجتمع های فرهنگی، هنری و مازاد ورزشی خود را مانند ساختمان‏ (اعم از اداری، مسکونی و آموزشی)، ورزشگاه‏، استخر، سالن‏ سینما، نمایش و آمفی‏تئاتر، غذاخوری، اجلاس (کنفرانس)، خوابگاه‏ دانشجویی، مهمانسرا، زائرسرا، ایستگاه‏ تحقیقاتی، سالن‏ فیزیوتراپی، تشریح، رادیوگرافی، سیتی‏ اسکن، دندانپزشکی، آزمایشگاه، درمانگاه‏، بیمارستان‏، باغ‏، مزارع، کارگاه، کارخانه‏، تاسیسات ساحلی، محل‏های تفریحی و سرگرمی را برای مدتی که مورد نیاز نیست و استفاده از آنها توسط دیگری موجب استهلاک غیرمعمول نمی‏ شود، با رعایت کاربری آن و از طریق مزایده و با رعایت سایر قوانین و مقررات مربوط، به اشخاص حقیقی یا حقوقی واجد صلاحیت به صورت اجاره واگذار کنند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تبصره 1- تشخیص موارد قابل واگذاری بر عهده بالاترین مقام دستگاه اجرایی یا مقام مجاز از طرف وی حسب مورد در مرکز و استان‌ها خواهد بود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تبصره 2- اشخاص حقیقی و حقوقی طرف قرارداد در صورتی واجد صلاحیت شناخته می‌شوند که دارای مجوز فعالیت معتبر از مراجع قانونی ذی‌ربط باشند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lastRenderedPageBreak/>
        <w:t>ماده 2</w:t>
      </w:r>
      <w:hyperlink r:id="rId6" w:tgtFrame="_blank" w:history="1">
        <w:r w:rsidRPr="00807ADD">
          <w:rPr>
            <w:rFonts w:ascii="Tahoma" w:eastAsia="Times New Roman" w:hAnsi="Tahoma" w:cs="Nazanin"/>
            <w:b/>
            <w:bCs/>
            <w:color w:val="E16036"/>
            <w:sz w:val="28"/>
            <w:szCs w:val="28"/>
          </w:rPr>
          <w:t>-</w:t>
        </w:r>
      </w:hyperlink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 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واگذاری آثار و بناهای تاریخی مشمول حکم این آیین‌نامه نمی‌گردد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3- در اجاره موارد مذکور در ماده (1) این آیین‌نامه، تعاونی‌ها در شرایط برابر و در اجاره واحدهای مازاد ورزشی در شرایط مساوی، فدراسیون‌های ورزشی، رده‌های مقاومت بسیج و هیئت‌های ورزشی استانی و شهرستانی در اولویت قرار می‌گیرند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تبصره- منظور از شرایط برابر یا مساوی، یکسان بودن اجاره‌بهای پیشنهادی و شرایط پرداخت آن از سوی شرکت‌کنندگان در مزایده می‌باشد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 xml:space="preserve">ماده 4- قرارداد تنظیمی مشمول احکام پیش‌بینی شده در قانون مدنی و قانون روابط موجر و </w:t>
      </w:r>
      <w:bookmarkStart w:id="0" w:name="_GoBack"/>
      <w:bookmarkEnd w:id="0"/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مستأجر و سایر مقررات جاری خواهد بود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5- مدت اجاره حداکثر برای سه سال مجاز است. مدت مورد نظر و سایر شرایط در اجاره‌نامه قید می‌شود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تبصره- بعد از انقضای مدت اجاره، واگذاری مجدد تابع ضوابط مقرر در این آیین‌نامه می‌باشد. شرکت مستأجر در مزایده مربوط به واگذاری مجدد، بلامانع است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6- قید ممنوعیت واگذاری مورد اجاره کلاً یا جزئاً حتی به صورت نمایندگی یا وکالت به غیر و نیز ذکر ممنوعیت تغییر کاربری در اجاره‌نامه الزامی است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7- ترتیب پرداخت کلیه هزینه‌هایی که بر عین مستأجره متصور است و صرفاً بر عهده مستأجر می‌باشد در اجاره‌نامه قید می‌گردد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8- مشخصات کامل مورد اجاره از نظر ساختمان و یا بخشی از آن، نوع تجهیزات و مشخصات و وضعیت کیفی آن صراحتاً در اجاره‌نامه قید می‌گردد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9- سایر اموالی که به تبع اموال موضوع این آیین‌نامه اجاره داده خواهد شد، باید در شرایط مزایده قید و بر اساس آنها قیمت‌گذاری صورت گیرد. چنانچه این‌گونه اموال در شرایط مزایده قید نشده باشد، با توافق طرفین و ضمن درج در قرارداد اجاره تحویل مستأجر می‌گردد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10- مسئولیت حفظ و حراست اموال در طول دوره قرارداد برعهده مستأجر است و در صورت اتلاف، مستأجر ضامن است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 xml:space="preserve">ماده 11- وجوه حاصل از اجرای این آیین‌نامه پس از واریز به حساب‌های خزانه بر اساس ردیف‌های درآمد-هزینه‌ای که در قوانین بودجه سنواتی به صورت ملی و استانی پیش‌بینی 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lastRenderedPageBreak/>
        <w:t>می‌شود، به دستگاه‌های اجرایی ذی‌ربط ملی یا استانی با رعایت قوانین مربوط اختصاص می‌یابد تا در قالب موافقت‌نامه با سازمان برنامه و بودجه کشور هزینه شود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jc w:val="both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ماده 12- نظارت بر کاربری، استانداردهای بهره‌برداری و خدمات‌رسانی و همچنین رعایت حقوق مصرف‌کنندگان بالاخص از حیث تعرفه‌های تعیین شده، به عنوان جزء لاینفک قرارداد اجاره بر عهده دستگاه اجرایی واگذارکننده می‌باشد</w:t>
      </w: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</w:rPr>
        <w:t>.</w:t>
      </w:r>
    </w:p>
    <w:p w:rsidR="00BC2D5E" w:rsidRPr="00807ADD" w:rsidRDefault="00BC2D5E" w:rsidP="00BC2D5E">
      <w:pPr>
        <w:shd w:val="clear" w:color="auto" w:fill="FFFFFF"/>
        <w:bidi/>
        <w:spacing w:after="135" w:line="240" w:lineRule="auto"/>
        <w:ind w:left="405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  <w:r w:rsidRPr="00807ADD">
        <w:rPr>
          <w:rFonts w:ascii="Tahoma" w:eastAsia="Times New Roman" w:hAnsi="Tahoma" w:cs="Nazanin"/>
          <w:b/>
          <w:bCs/>
          <w:color w:val="333333"/>
          <w:sz w:val="28"/>
          <w:szCs w:val="28"/>
          <w:rtl/>
        </w:rPr>
        <w:t>اسحاق جهانگیری- معاون اول رییس‌جمهور</w:t>
      </w:r>
    </w:p>
    <w:p w:rsidR="00BC2D5E" w:rsidRPr="00807ADD" w:rsidRDefault="00BC2D5E" w:rsidP="00BC2D5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0" w:lineRule="atLeast"/>
        <w:ind w:left="780" w:right="375"/>
        <w:jc w:val="center"/>
        <w:rPr>
          <w:rFonts w:ascii="Tahoma" w:eastAsia="Times New Roman" w:hAnsi="Tahoma" w:cs="Nazanin"/>
          <w:b/>
          <w:bCs/>
          <w:color w:val="333333"/>
          <w:sz w:val="28"/>
          <w:szCs w:val="28"/>
        </w:rPr>
      </w:pPr>
    </w:p>
    <w:p w:rsidR="00415119" w:rsidRPr="00807ADD" w:rsidRDefault="00415119">
      <w:pPr>
        <w:rPr>
          <w:rFonts w:cs="Nazanin"/>
          <w:b/>
          <w:bCs/>
          <w:sz w:val="28"/>
          <w:szCs w:val="28"/>
        </w:rPr>
      </w:pPr>
    </w:p>
    <w:sectPr w:rsidR="00415119" w:rsidRPr="0080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5672"/>
    <w:multiLevelType w:val="multilevel"/>
    <w:tmpl w:val="35A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0"/>
    <w:rsid w:val="00415119"/>
    <w:rsid w:val="00446710"/>
    <w:rsid w:val="0055529E"/>
    <w:rsid w:val="00807ADD"/>
    <w:rsid w:val="00B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3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06836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nasname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Soleimani</dc:creator>
  <cp:keywords/>
  <dc:description/>
  <cp:lastModifiedBy>Parvin Soleimani</cp:lastModifiedBy>
  <cp:revision>4</cp:revision>
  <cp:lastPrinted>2019-01-19T04:53:00Z</cp:lastPrinted>
  <dcterms:created xsi:type="dcterms:W3CDTF">2019-01-13T09:35:00Z</dcterms:created>
  <dcterms:modified xsi:type="dcterms:W3CDTF">2019-01-19T05:05:00Z</dcterms:modified>
</cp:coreProperties>
</file>